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E749" w14:textId="77777777" w:rsidR="001D130E" w:rsidRPr="00240227" w:rsidRDefault="0035295D" w:rsidP="00605D1E">
      <w:pPr>
        <w:rPr>
          <w:b/>
          <w:color w:val="00B050"/>
        </w:rPr>
      </w:pPr>
      <w:r>
        <w:rPr>
          <w:b/>
          <w:color w:val="00B050"/>
        </w:rPr>
        <w:t>TOWN CENTRE</w:t>
      </w:r>
      <w:r w:rsidR="0053571F" w:rsidRPr="00240227">
        <w:rPr>
          <w:b/>
          <w:color w:val="00B050"/>
        </w:rPr>
        <w:t xml:space="preserve"> - </w:t>
      </w:r>
    </w:p>
    <w:tbl>
      <w:tblPr>
        <w:tblStyle w:val="TableGrid"/>
        <w:tblW w:w="0" w:type="auto"/>
        <w:tblLook w:val="04A0" w:firstRow="1" w:lastRow="0" w:firstColumn="1" w:lastColumn="0" w:noHBand="0" w:noVBand="1"/>
      </w:tblPr>
      <w:tblGrid>
        <w:gridCol w:w="9634"/>
        <w:gridCol w:w="8931"/>
        <w:gridCol w:w="3799"/>
      </w:tblGrid>
      <w:tr w:rsidR="00DA5AE0" w:rsidRPr="00B90AE3" w14:paraId="4CB4DAF0" w14:textId="77777777" w:rsidTr="0078702E">
        <w:tc>
          <w:tcPr>
            <w:tcW w:w="9634" w:type="dxa"/>
          </w:tcPr>
          <w:p w14:paraId="6578CE02" w14:textId="77777777" w:rsidR="0053571F" w:rsidRPr="00B90AE3" w:rsidRDefault="0053571F" w:rsidP="00605D1E">
            <w:pPr>
              <w:rPr>
                <w:rFonts w:asciiTheme="minorHAnsi" w:hAnsiTheme="minorHAnsi" w:cstheme="minorHAnsi"/>
                <w:sz w:val="24"/>
                <w:szCs w:val="24"/>
              </w:rPr>
            </w:pPr>
          </w:p>
          <w:p w14:paraId="6684118B" w14:textId="77777777" w:rsidR="00DA5AE0" w:rsidRPr="00B90AE3" w:rsidRDefault="00DA5AE0" w:rsidP="00605D1E">
            <w:pPr>
              <w:rPr>
                <w:rFonts w:asciiTheme="minorHAnsi" w:hAnsiTheme="minorHAnsi" w:cstheme="minorHAnsi"/>
                <w:sz w:val="24"/>
                <w:szCs w:val="24"/>
              </w:rPr>
            </w:pPr>
            <w:r w:rsidRPr="00B90AE3">
              <w:rPr>
                <w:rFonts w:asciiTheme="minorHAnsi" w:hAnsiTheme="minorHAnsi" w:cstheme="minorHAnsi"/>
                <w:b/>
                <w:sz w:val="24"/>
                <w:szCs w:val="24"/>
              </w:rPr>
              <w:t>THEME</w:t>
            </w:r>
            <w:r w:rsidRPr="00B90AE3">
              <w:rPr>
                <w:rFonts w:asciiTheme="minorHAnsi" w:hAnsiTheme="minorHAnsi" w:cstheme="minorHAnsi"/>
                <w:sz w:val="24"/>
                <w:szCs w:val="24"/>
              </w:rPr>
              <w:t xml:space="preserve"> </w:t>
            </w:r>
            <w:r w:rsidR="0053571F" w:rsidRPr="00B90AE3">
              <w:rPr>
                <w:rFonts w:asciiTheme="minorHAnsi" w:hAnsiTheme="minorHAnsi" w:cstheme="minorHAnsi"/>
                <w:sz w:val="24"/>
                <w:szCs w:val="24"/>
              </w:rPr>
              <w:t>–</w:t>
            </w:r>
            <w:r w:rsidRPr="00B90AE3">
              <w:rPr>
                <w:rFonts w:asciiTheme="minorHAnsi" w:hAnsiTheme="minorHAnsi" w:cstheme="minorHAnsi"/>
                <w:sz w:val="24"/>
                <w:szCs w:val="24"/>
              </w:rPr>
              <w:t xml:space="preserve"> </w:t>
            </w:r>
            <w:r w:rsidR="0053571F" w:rsidRPr="00B90AE3">
              <w:rPr>
                <w:rFonts w:asciiTheme="minorHAnsi" w:hAnsiTheme="minorHAnsi" w:cstheme="minorHAnsi"/>
                <w:b/>
                <w:sz w:val="24"/>
                <w:szCs w:val="24"/>
              </w:rPr>
              <w:t xml:space="preserve"> initial points for discussion</w:t>
            </w:r>
          </w:p>
          <w:p w14:paraId="73A1F422" w14:textId="77777777" w:rsidR="0053571F" w:rsidRPr="00B90AE3" w:rsidRDefault="0053571F" w:rsidP="00605D1E">
            <w:pPr>
              <w:rPr>
                <w:rFonts w:asciiTheme="minorHAnsi" w:hAnsiTheme="minorHAnsi" w:cstheme="minorHAnsi"/>
                <w:sz w:val="24"/>
                <w:szCs w:val="24"/>
              </w:rPr>
            </w:pPr>
          </w:p>
        </w:tc>
        <w:tc>
          <w:tcPr>
            <w:tcW w:w="8931" w:type="dxa"/>
          </w:tcPr>
          <w:p w14:paraId="271FB91C" w14:textId="77777777" w:rsidR="00BF499B" w:rsidRPr="00B90AE3" w:rsidRDefault="00DA5AE0" w:rsidP="00605D1E">
            <w:pPr>
              <w:rPr>
                <w:rFonts w:asciiTheme="minorHAnsi" w:hAnsiTheme="minorHAnsi" w:cstheme="minorHAnsi"/>
                <w:b/>
                <w:sz w:val="24"/>
                <w:szCs w:val="24"/>
              </w:rPr>
            </w:pPr>
            <w:r w:rsidRPr="00B90AE3">
              <w:rPr>
                <w:rFonts w:asciiTheme="minorHAnsi" w:hAnsiTheme="minorHAnsi" w:cstheme="minorHAnsi"/>
                <w:b/>
                <w:sz w:val="24"/>
                <w:szCs w:val="24"/>
              </w:rPr>
              <w:t>DATA SOURCES</w:t>
            </w:r>
            <w:r w:rsidR="00BF499B" w:rsidRPr="00B90AE3">
              <w:rPr>
                <w:rFonts w:asciiTheme="minorHAnsi" w:hAnsiTheme="minorHAnsi" w:cstheme="minorHAnsi"/>
                <w:b/>
                <w:sz w:val="24"/>
                <w:szCs w:val="24"/>
              </w:rPr>
              <w:t xml:space="preserve"> / RESEARCH FOR DATA SOURCES/</w:t>
            </w:r>
          </w:p>
          <w:p w14:paraId="070D2B49" w14:textId="77777777" w:rsidR="00DA5AE0" w:rsidRPr="00B90AE3" w:rsidRDefault="00BF499B" w:rsidP="00605D1E">
            <w:pPr>
              <w:rPr>
                <w:rFonts w:asciiTheme="minorHAnsi" w:hAnsiTheme="minorHAnsi" w:cstheme="minorHAnsi"/>
                <w:sz w:val="24"/>
                <w:szCs w:val="24"/>
              </w:rPr>
            </w:pPr>
            <w:r w:rsidRPr="00B90AE3">
              <w:rPr>
                <w:rFonts w:asciiTheme="minorHAnsi" w:hAnsiTheme="minorHAnsi" w:cstheme="minorHAnsi"/>
                <w:b/>
                <w:sz w:val="24"/>
                <w:szCs w:val="24"/>
              </w:rPr>
              <w:t>EVIDENCE</w:t>
            </w:r>
            <w:r w:rsidRPr="00B90AE3">
              <w:rPr>
                <w:rFonts w:asciiTheme="minorHAnsi" w:hAnsiTheme="minorHAnsi" w:cstheme="minorHAnsi"/>
                <w:sz w:val="24"/>
                <w:szCs w:val="24"/>
              </w:rPr>
              <w:t xml:space="preserve"> </w:t>
            </w:r>
          </w:p>
        </w:tc>
        <w:tc>
          <w:tcPr>
            <w:tcW w:w="3799" w:type="dxa"/>
          </w:tcPr>
          <w:p w14:paraId="1F424745" w14:textId="77777777" w:rsidR="00DA5AE0" w:rsidRPr="00B90AE3" w:rsidRDefault="00DA5AE0" w:rsidP="00605D1E">
            <w:pPr>
              <w:rPr>
                <w:rFonts w:asciiTheme="minorHAnsi" w:hAnsiTheme="minorHAnsi" w:cstheme="minorHAnsi"/>
                <w:b/>
                <w:sz w:val="24"/>
                <w:szCs w:val="24"/>
              </w:rPr>
            </w:pPr>
            <w:r w:rsidRPr="00B90AE3">
              <w:rPr>
                <w:rFonts w:asciiTheme="minorHAnsi" w:hAnsiTheme="minorHAnsi" w:cstheme="minorHAnsi"/>
                <w:b/>
                <w:sz w:val="24"/>
                <w:szCs w:val="24"/>
              </w:rPr>
              <w:t>LOCAL PLAN POLICY</w:t>
            </w:r>
          </w:p>
        </w:tc>
      </w:tr>
      <w:tr w:rsidR="00DA5AE0" w:rsidRPr="00B90AE3" w14:paraId="65434251" w14:textId="77777777" w:rsidTr="0078702E">
        <w:tc>
          <w:tcPr>
            <w:tcW w:w="9634" w:type="dxa"/>
          </w:tcPr>
          <w:p w14:paraId="513FFDDB" w14:textId="77777777" w:rsidR="00DA5AE0" w:rsidRPr="00B90AE3" w:rsidRDefault="00DA5AE0" w:rsidP="00605D1E">
            <w:pPr>
              <w:rPr>
                <w:rFonts w:asciiTheme="minorHAnsi" w:hAnsiTheme="minorHAnsi" w:cstheme="minorHAnsi"/>
                <w:b/>
                <w:color w:val="7030A0"/>
                <w:sz w:val="24"/>
                <w:szCs w:val="24"/>
              </w:rPr>
            </w:pPr>
            <w:r w:rsidRPr="00B90AE3">
              <w:rPr>
                <w:rFonts w:asciiTheme="minorHAnsi" w:hAnsiTheme="minorHAnsi" w:cstheme="minorHAnsi"/>
                <w:b/>
                <w:color w:val="7030A0"/>
                <w:sz w:val="24"/>
                <w:szCs w:val="24"/>
              </w:rPr>
              <w:t xml:space="preserve">DESIGN IN THE TOWN CENTRE </w:t>
            </w:r>
            <w:r w:rsidR="00AF0C1C" w:rsidRPr="00B90AE3">
              <w:rPr>
                <w:rFonts w:asciiTheme="minorHAnsi" w:hAnsiTheme="minorHAnsi" w:cstheme="minorHAnsi"/>
                <w:b/>
                <w:color w:val="7030A0"/>
                <w:sz w:val="24"/>
                <w:szCs w:val="24"/>
              </w:rPr>
              <w:t>–</w:t>
            </w:r>
            <w:r w:rsidRPr="00B90AE3">
              <w:rPr>
                <w:rFonts w:asciiTheme="minorHAnsi" w:hAnsiTheme="minorHAnsi" w:cstheme="minorHAnsi"/>
                <w:b/>
                <w:color w:val="7030A0"/>
                <w:sz w:val="24"/>
                <w:szCs w:val="24"/>
              </w:rPr>
              <w:t xml:space="preserve"> </w:t>
            </w:r>
          </w:p>
          <w:p w14:paraId="1EFA9E24" w14:textId="77777777" w:rsidR="00AF0C1C" w:rsidRPr="00B90AE3" w:rsidRDefault="006D5570"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Fascia’s</w:t>
            </w:r>
            <w:r w:rsidR="0053571F" w:rsidRPr="00B90AE3">
              <w:rPr>
                <w:rFonts w:asciiTheme="minorHAnsi" w:hAnsiTheme="minorHAnsi" w:cstheme="minorHAnsi"/>
                <w:sz w:val="24"/>
                <w:szCs w:val="24"/>
              </w:rPr>
              <w:t>, swing signs (also relevant to Town Centre theme)</w:t>
            </w:r>
          </w:p>
          <w:p w14:paraId="0F918DEB"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Planning to discriminate in favour of retail and catering outlets, not turning current retail outlets into offices</w:t>
            </w:r>
          </w:p>
          <w:p w14:paraId="5DFE24BF"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 xml:space="preserve">Planning to encourage new retail outlets coming into the High Street and retail environs to have painted </w:t>
            </w:r>
            <w:r w:rsidR="0091096C" w:rsidRPr="00B90AE3">
              <w:rPr>
                <w:rFonts w:asciiTheme="minorHAnsi" w:hAnsiTheme="minorHAnsi" w:cstheme="minorHAnsi"/>
                <w:sz w:val="24"/>
                <w:szCs w:val="24"/>
              </w:rPr>
              <w:t>fascia’s</w:t>
            </w:r>
            <w:r w:rsidRPr="00B90AE3">
              <w:rPr>
                <w:rFonts w:asciiTheme="minorHAnsi" w:hAnsiTheme="minorHAnsi" w:cstheme="minorHAnsi"/>
                <w:sz w:val="24"/>
                <w:szCs w:val="24"/>
              </w:rPr>
              <w:t>, rather than plastic signs attached to fascia; encourage swing signs to match.</w:t>
            </w:r>
          </w:p>
          <w:p w14:paraId="79D48BF3"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Street furniture : benches, bins, signs, street lights</w:t>
            </w:r>
          </w:p>
          <w:p w14:paraId="6A09DDF0"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 xml:space="preserve">Street planters (Shaftesbury In Bloom) </w:t>
            </w:r>
          </w:p>
          <w:p w14:paraId="17943959"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Flower boxes on buildings (Shaftesbury in Bloom</w:t>
            </w:r>
          </w:p>
          <w:p w14:paraId="2C68DA28" w14:textId="77777777" w:rsidR="0053571F" w:rsidRPr="00B90AE3" w:rsidRDefault="0053571F" w:rsidP="0053571F">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Flags (Chamber of Commerce)</w:t>
            </w:r>
          </w:p>
          <w:p w14:paraId="4D860DAB" w14:textId="77777777" w:rsidR="00AF0C1C" w:rsidRPr="00B90AE3" w:rsidRDefault="0053571F" w:rsidP="0091096C">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Road &amp; pavement materials</w:t>
            </w:r>
          </w:p>
        </w:tc>
        <w:tc>
          <w:tcPr>
            <w:tcW w:w="8931" w:type="dxa"/>
          </w:tcPr>
          <w:p w14:paraId="2AC72A7F" w14:textId="0A036555" w:rsidR="00DA5AE0" w:rsidRPr="00B90AE3" w:rsidRDefault="00BF499B" w:rsidP="00BF499B">
            <w:pPr>
              <w:pStyle w:val="ListParagraph"/>
              <w:numPr>
                <w:ilvl w:val="0"/>
                <w:numId w:val="1"/>
              </w:numPr>
              <w:rPr>
                <w:rFonts w:asciiTheme="minorHAnsi" w:hAnsiTheme="minorHAnsi" w:cstheme="minorHAnsi"/>
                <w:sz w:val="24"/>
                <w:szCs w:val="24"/>
              </w:rPr>
            </w:pPr>
            <w:r w:rsidRPr="00B90AE3">
              <w:rPr>
                <w:rFonts w:asciiTheme="minorHAnsi" w:hAnsiTheme="minorHAnsi" w:cstheme="minorHAnsi"/>
                <w:sz w:val="24"/>
                <w:szCs w:val="24"/>
              </w:rPr>
              <w:t>Research other market towns and the successes they have had with just such a planning approach to preserving and enhancing the heritage appeal of their high streets</w:t>
            </w:r>
            <w:r w:rsidR="00F00ABA">
              <w:rPr>
                <w:rFonts w:asciiTheme="minorHAnsi" w:hAnsiTheme="minorHAnsi" w:cstheme="minorHAnsi"/>
                <w:sz w:val="24"/>
                <w:szCs w:val="24"/>
              </w:rPr>
              <w:t xml:space="preserve"> – include ironmongery signage </w:t>
            </w:r>
          </w:p>
          <w:p w14:paraId="35B607A7" w14:textId="294914E5" w:rsidR="0091096C" w:rsidRPr="00B90AE3" w:rsidRDefault="0091096C" w:rsidP="0078702E">
            <w:pPr>
              <w:pStyle w:val="Default"/>
              <w:numPr>
                <w:ilvl w:val="0"/>
                <w:numId w:val="1"/>
              </w:numPr>
              <w:rPr>
                <w:rFonts w:asciiTheme="minorHAnsi" w:hAnsiTheme="minorHAnsi" w:cstheme="minorHAnsi"/>
              </w:rPr>
            </w:pPr>
            <w:r w:rsidRPr="00B90AE3">
              <w:rPr>
                <w:rFonts w:asciiTheme="minorHAnsi" w:hAnsiTheme="minorHAnsi" w:cstheme="minorHAnsi"/>
              </w:rPr>
              <w:t xml:space="preserve">Shop front guidance – potential picking out key elements from the NDDC guidance applicable to Shaftesbury. This can also pick up on the use of wall plaques / pub signs etc </w:t>
            </w:r>
          </w:p>
          <w:p w14:paraId="23507061" w14:textId="77777777" w:rsidR="0091096C" w:rsidRPr="0078702E" w:rsidRDefault="0091096C" w:rsidP="0078702E">
            <w:pPr>
              <w:rPr>
                <w:rFonts w:asciiTheme="minorHAnsi" w:hAnsiTheme="minorHAnsi" w:cstheme="minorHAnsi"/>
                <w:sz w:val="24"/>
                <w:szCs w:val="24"/>
              </w:rPr>
            </w:pPr>
          </w:p>
          <w:p w14:paraId="58D3F4FA" w14:textId="77777777" w:rsidR="0091096C" w:rsidRPr="0078702E" w:rsidRDefault="0078702E" w:rsidP="0091096C">
            <w:pPr>
              <w:pStyle w:val="Default"/>
              <w:rPr>
                <w:rFonts w:asciiTheme="minorHAnsi" w:hAnsiTheme="minorHAnsi" w:cstheme="minorHAnsi"/>
                <w:i/>
              </w:rPr>
            </w:pPr>
            <w:r w:rsidRPr="0078702E">
              <w:rPr>
                <w:rFonts w:asciiTheme="minorHAnsi" w:hAnsiTheme="minorHAnsi" w:cstheme="minorHAnsi"/>
                <w:i/>
              </w:rPr>
              <w:t>Project to cover:</w:t>
            </w:r>
          </w:p>
          <w:p w14:paraId="5B8A7D90" w14:textId="77777777" w:rsidR="0078702E" w:rsidRDefault="0078702E" w:rsidP="0091096C">
            <w:pPr>
              <w:pStyle w:val="Default"/>
              <w:rPr>
                <w:rFonts w:asciiTheme="minorHAnsi" w:hAnsiTheme="minorHAnsi" w:cstheme="minorHAnsi"/>
              </w:rPr>
            </w:pPr>
            <w:r w:rsidRPr="00B90AE3">
              <w:rPr>
                <w:rFonts w:asciiTheme="minorHAnsi" w:hAnsiTheme="minorHAnsi" w:cstheme="minorHAnsi"/>
              </w:rPr>
              <w:t>public realm improvements</w:t>
            </w:r>
          </w:p>
          <w:p w14:paraId="73556BB1" w14:textId="77777777" w:rsidR="00F00ABA" w:rsidRDefault="00F00ABA" w:rsidP="0091096C">
            <w:pPr>
              <w:pStyle w:val="Default"/>
              <w:rPr>
                <w:rFonts w:asciiTheme="minorHAnsi" w:hAnsiTheme="minorHAnsi" w:cstheme="minorHAnsi"/>
              </w:rPr>
            </w:pPr>
          </w:p>
          <w:p w14:paraId="5FF4037E" w14:textId="64EAB1D2" w:rsidR="00F00ABA" w:rsidRPr="00B90AE3" w:rsidRDefault="00F00ABA" w:rsidP="00F00ABA">
            <w:pPr>
              <w:pStyle w:val="Default"/>
              <w:numPr>
                <w:ilvl w:val="0"/>
                <w:numId w:val="6"/>
              </w:numPr>
              <w:rPr>
                <w:rFonts w:asciiTheme="minorHAnsi" w:hAnsiTheme="minorHAnsi" w:cstheme="minorHAnsi"/>
              </w:rPr>
            </w:pPr>
            <w:r>
              <w:rPr>
                <w:rFonts w:asciiTheme="minorHAnsi" w:hAnsiTheme="minorHAnsi" w:cstheme="minorHAnsi"/>
              </w:rPr>
              <w:t>There does not appear to be a Town design guide for Shaftesbury in the public domain – does a guide exist?</w:t>
            </w:r>
          </w:p>
        </w:tc>
        <w:tc>
          <w:tcPr>
            <w:tcW w:w="3799" w:type="dxa"/>
          </w:tcPr>
          <w:p w14:paraId="2F36D2D7" w14:textId="77777777" w:rsidR="00DA5AE0" w:rsidRPr="00B90AE3" w:rsidRDefault="00DA5AE0" w:rsidP="00605D1E">
            <w:pPr>
              <w:rPr>
                <w:rFonts w:asciiTheme="minorHAnsi" w:hAnsiTheme="minorHAnsi" w:cstheme="minorHAnsi"/>
                <w:sz w:val="24"/>
                <w:szCs w:val="24"/>
              </w:rPr>
            </w:pPr>
          </w:p>
        </w:tc>
      </w:tr>
      <w:tr w:rsidR="00DA5AE0" w:rsidRPr="00B90AE3" w14:paraId="65E5628E" w14:textId="77777777" w:rsidTr="0078702E">
        <w:tc>
          <w:tcPr>
            <w:tcW w:w="9634" w:type="dxa"/>
          </w:tcPr>
          <w:p w14:paraId="605410D0" w14:textId="2C812353" w:rsidR="00DA5AE0" w:rsidRPr="00B90AE3" w:rsidRDefault="0078702E" w:rsidP="00605D1E">
            <w:pPr>
              <w:rPr>
                <w:rFonts w:asciiTheme="minorHAnsi" w:hAnsiTheme="minorHAnsi" w:cstheme="minorHAnsi"/>
                <w:b/>
                <w:sz w:val="24"/>
                <w:szCs w:val="24"/>
              </w:rPr>
            </w:pPr>
            <w:r>
              <w:rPr>
                <w:rFonts w:asciiTheme="minorHAnsi" w:hAnsiTheme="minorHAnsi" w:cstheme="minorHAnsi"/>
                <w:b/>
                <w:color w:val="92D050"/>
                <w:sz w:val="24"/>
                <w:szCs w:val="24"/>
              </w:rPr>
              <w:t>BOINDARY MAP – PRIMARY RETAIL AND SECONDARY RETAIL CLARIFICATION</w:t>
            </w:r>
          </w:p>
          <w:p w14:paraId="1415F147" w14:textId="77777777" w:rsidR="00AF0C1C" w:rsidRPr="00B90AE3" w:rsidRDefault="00AF0C1C" w:rsidP="006D5570">
            <w:pPr>
              <w:pStyle w:val="ListParagraph"/>
              <w:numPr>
                <w:ilvl w:val="0"/>
                <w:numId w:val="2"/>
              </w:numPr>
              <w:rPr>
                <w:rFonts w:asciiTheme="minorHAnsi" w:hAnsiTheme="minorHAnsi" w:cstheme="minorHAnsi"/>
                <w:sz w:val="24"/>
                <w:szCs w:val="24"/>
              </w:rPr>
            </w:pPr>
          </w:p>
          <w:p w14:paraId="28D5F1FB" w14:textId="77777777" w:rsidR="00AF0C1C" w:rsidRPr="00B90AE3" w:rsidRDefault="00AF0C1C" w:rsidP="00605D1E">
            <w:pPr>
              <w:rPr>
                <w:rFonts w:asciiTheme="minorHAnsi" w:hAnsiTheme="minorHAnsi" w:cstheme="minorHAnsi"/>
                <w:sz w:val="24"/>
                <w:szCs w:val="24"/>
              </w:rPr>
            </w:pPr>
          </w:p>
        </w:tc>
        <w:tc>
          <w:tcPr>
            <w:tcW w:w="8931" w:type="dxa"/>
          </w:tcPr>
          <w:p w14:paraId="32B10513" w14:textId="77777777" w:rsidR="0091096C" w:rsidRPr="00B90AE3" w:rsidRDefault="0091096C" w:rsidP="0091096C">
            <w:pPr>
              <w:pStyle w:val="Default"/>
              <w:rPr>
                <w:rFonts w:asciiTheme="minorHAnsi" w:hAnsiTheme="minorHAnsi" w:cstheme="minorHAnsi"/>
              </w:rPr>
            </w:pPr>
            <w:r w:rsidRPr="00B90AE3">
              <w:rPr>
                <w:rFonts w:asciiTheme="minorHAnsi" w:hAnsiTheme="minorHAnsi" w:cstheme="minorHAnsi"/>
                <w:i/>
                <w:iCs/>
              </w:rPr>
              <w:t xml:space="preserve">Planning policies to cover: </w:t>
            </w:r>
          </w:p>
          <w:p w14:paraId="52E8C951" w14:textId="77777777" w:rsidR="00DA5AE0" w:rsidRDefault="0091096C" w:rsidP="0078702E">
            <w:pPr>
              <w:pStyle w:val="Default"/>
              <w:numPr>
                <w:ilvl w:val="0"/>
                <w:numId w:val="5"/>
              </w:numPr>
              <w:spacing w:after="247"/>
              <w:rPr>
                <w:rFonts w:asciiTheme="minorHAnsi" w:hAnsiTheme="minorHAnsi" w:cstheme="minorHAnsi"/>
              </w:rPr>
            </w:pPr>
            <w:r w:rsidRPr="00B90AE3">
              <w:rPr>
                <w:rFonts w:asciiTheme="minorHAnsi" w:hAnsiTheme="minorHAnsi" w:cstheme="minorHAnsi"/>
              </w:rPr>
              <w:t xml:space="preserve">Definition of the town centre boundary and shop frontages (if these are different from those in the Local Plan), and /or adjusting the criteria that would apply to changes of use in these areas </w:t>
            </w:r>
          </w:p>
          <w:p w14:paraId="2861C157" w14:textId="15FA4F96" w:rsidR="00F00ABA" w:rsidRDefault="00F00ABA" w:rsidP="0078702E">
            <w:pPr>
              <w:pStyle w:val="Default"/>
              <w:numPr>
                <w:ilvl w:val="0"/>
                <w:numId w:val="5"/>
              </w:numPr>
              <w:spacing w:after="247"/>
              <w:rPr>
                <w:rFonts w:asciiTheme="minorHAnsi" w:hAnsiTheme="minorHAnsi" w:cstheme="minorHAnsi"/>
              </w:rPr>
            </w:pPr>
            <w:r>
              <w:rPr>
                <w:rFonts w:asciiTheme="minorHAnsi" w:hAnsiTheme="minorHAnsi" w:cstheme="minorHAnsi"/>
              </w:rPr>
              <w:t>Consider the ‘meanwhile’ uses as featured on the Carter Jonas report (pop-ups) – understand the ‘requirement</w:t>
            </w:r>
            <w:bookmarkStart w:id="0" w:name="_GoBack"/>
            <w:bookmarkEnd w:id="0"/>
            <w:r>
              <w:rPr>
                <w:rFonts w:asciiTheme="minorHAnsi" w:hAnsiTheme="minorHAnsi" w:cstheme="minorHAnsi"/>
              </w:rPr>
              <w:t xml:space="preserve"> list’ (holding list for interested parties)</w:t>
            </w:r>
          </w:p>
          <w:p w14:paraId="4C1C6A0A" w14:textId="64E78B60" w:rsidR="00F00ABA" w:rsidRPr="00B90AE3" w:rsidRDefault="00F00ABA" w:rsidP="0078702E">
            <w:pPr>
              <w:pStyle w:val="Default"/>
              <w:numPr>
                <w:ilvl w:val="0"/>
                <w:numId w:val="5"/>
              </w:numPr>
              <w:spacing w:after="247"/>
              <w:rPr>
                <w:rFonts w:asciiTheme="minorHAnsi" w:hAnsiTheme="minorHAnsi" w:cstheme="minorHAnsi"/>
              </w:rPr>
            </w:pPr>
            <w:r>
              <w:rPr>
                <w:rFonts w:asciiTheme="minorHAnsi" w:hAnsiTheme="minorHAnsi" w:cstheme="minorHAnsi"/>
              </w:rPr>
              <w:t xml:space="preserve">Consider Landlord engagement </w:t>
            </w:r>
          </w:p>
        </w:tc>
        <w:tc>
          <w:tcPr>
            <w:tcW w:w="3799" w:type="dxa"/>
          </w:tcPr>
          <w:p w14:paraId="791CEE0D" w14:textId="77777777" w:rsidR="00DA5AE0" w:rsidRPr="00B90AE3" w:rsidRDefault="00DA5AE0" w:rsidP="00605D1E">
            <w:pPr>
              <w:rPr>
                <w:rFonts w:asciiTheme="minorHAnsi" w:hAnsiTheme="minorHAnsi" w:cstheme="minorHAnsi"/>
                <w:sz w:val="24"/>
                <w:szCs w:val="24"/>
              </w:rPr>
            </w:pPr>
          </w:p>
        </w:tc>
      </w:tr>
      <w:tr w:rsidR="00DA5AE0" w:rsidRPr="00B90AE3" w14:paraId="19F70860" w14:textId="77777777" w:rsidTr="0078702E">
        <w:tc>
          <w:tcPr>
            <w:tcW w:w="9634" w:type="dxa"/>
          </w:tcPr>
          <w:p w14:paraId="2C02C8EA" w14:textId="7A6CBE33" w:rsidR="00DA5AE0" w:rsidRPr="00B90AE3" w:rsidRDefault="0078702E" w:rsidP="00605D1E">
            <w:pPr>
              <w:rPr>
                <w:rFonts w:asciiTheme="minorHAnsi" w:hAnsiTheme="minorHAnsi" w:cstheme="minorHAnsi"/>
                <w:b/>
                <w:color w:val="0070C0"/>
                <w:sz w:val="24"/>
                <w:szCs w:val="24"/>
              </w:rPr>
            </w:pPr>
            <w:r>
              <w:rPr>
                <w:rFonts w:asciiTheme="minorHAnsi" w:hAnsiTheme="minorHAnsi" w:cstheme="minorHAnsi"/>
                <w:b/>
                <w:color w:val="0070C0"/>
                <w:sz w:val="24"/>
                <w:szCs w:val="24"/>
              </w:rPr>
              <w:t>TOWN CENTRE EXPERIENCE (VIBRANCY INC NIGHT TIME ECONOMY)</w:t>
            </w:r>
            <w:r w:rsidR="00DA5AE0" w:rsidRPr="00B90AE3">
              <w:rPr>
                <w:rFonts w:asciiTheme="minorHAnsi" w:hAnsiTheme="minorHAnsi" w:cstheme="minorHAnsi"/>
                <w:b/>
                <w:color w:val="0070C0"/>
                <w:sz w:val="24"/>
                <w:szCs w:val="24"/>
              </w:rPr>
              <w:t xml:space="preserve"> </w:t>
            </w:r>
          </w:p>
          <w:p w14:paraId="01E27EFF" w14:textId="77777777" w:rsidR="00AF0C1C" w:rsidRPr="00B90AE3" w:rsidRDefault="002A40EA"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USP – driving the shopping experience through inspirational marketing</w:t>
            </w:r>
          </w:p>
          <w:p w14:paraId="692EA2C6" w14:textId="77777777" w:rsidR="00AF0C1C" w:rsidRPr="00B90AE3" w:rsidRDefault="00AF0C1C" w:rsidP="00605D1E">
            <w:pPr>
              <w:rPr>
                <w:rFonts w:asciiTheme="minorHAnsi" w:hAnsiTheme="minorHAnsi" w:cstheme="minorHAnsi"/>
                <w:sz w:val="24"/>
                <w:szCs w:val="24"/>
              </w:rPr>
            </w:pPr>
          </w:p>
        </w:tc>
        <w:tc>
          <w:tcPr>
            <w:tcW w:w="8931" w:type="dxa"/>
          </w:tcPr>
          <w:p w14:paraId="3D27713B" w14:textId="77777777" w:rsidR="00DA5AE0" w:rsidRPr="00B90AE3" w:rsidRDefault="006D5570"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Retail Study – Carter Jonas</w:t>
            </w:r>
          </w:p>
        </w:tc>
        <w:tc>
          <w:tcPr>
            <w:tcW w:w="3799" w:type="dxa"/>
          </w:tcPr>
          <w:p w14:paraId="2D2FB31C" w14:textId="77777777" w:rsidR="00DA5AE0" w:rsidRPr="00B90AE3" w:rsidRDefault="00DA5AE0" w:rsidP="00605D1E">
            <w:pPr>
              <w:rPr>
                <w:rFonts w:asciiTheme="minorHAnsi" w:hAnsiTheme="minorHAnsi" w:cstheme="minorHAnsi"/>
                <w:sz w:val="24"/>
                <w:szCs w:val="24"/>
              </w:rPr>
            </w:pPr>
          </w:p>
        </w:tc>
      </w:tr>
      <w:tr w:rsidR="00DA5AE0" w:rsidRPr="00B90AE3" w14:paraId="2FFBCA2C" w14:textId="77777777" w:rsidTr="0078702E">
        <w:tc>
          <w:tcPr>
            <w:tcW w:w="9634" w:type="dxa"/>
          </w:tcPr>
          <w:p w14:paraId="3508FE20" w14:textId="6A3E32FE" w:rsidR="00DA5AE0" w:rsidRPr="00B90AE3" w:rsidRDefault="006D5570" w:rsidP="00605D1E">
            <w:pPr>
              <w:rPr>
                <w:rFonts w:asciiTheme="minorHAnsi" w:hAnsiTheme="minorHAnsi" w:cstheme="minorHAnsi"/>
                <w:b/>
                <w:color w:val="FFC000"/>
                <w:sz w:val="24"/>
                <w:szCs w:val="24"/>
              </w:rPr>
            </w:pPr>
            <w:r w:rsidRPr="00B90AE3">
              <w:rPr>
                <w:rFonts w:asciiTheme="minorHAnsi" w:hAnsiTheme="minorHAnsi" w:cstheme="minorHAnsi"/>
                <w:b/>
                <w:color w:val="FFC000"/>
                <w:sz w:val="24"/>
                <w:szCs w:val="24"/>
              </w:rPr>
              <w:t>TRAFFIC FLOW/</w:t>
            </w:r>
            <w:r w:rsidR="0078702E">
              <w:rPr>
                <w:rFonts w:asciiTheme="minorHAnsi" w:hAnsiTheme="minorHAnsi" w:cstheme="minorHAnsi"/>
                <w:b/>
                <w:color w:val="FFC000"/>
                <w:sz w:val="24"/>
                <w:szCs w:val="24"/>
              </w:rPr>
              <w:t xml:space="preserve"> MANAGEMENT</w:t>
            </w:r>
          </w:p>
          <w:p w14:paraId="3509F4C2" w14:textId="77777777" w:rsidR="00AF0C1C" w:rsidRPr="00B90AE3" w:rsidRDefault="00AF0C1C" w:rsidP="00605D1E">
            <w:pPr>
              <w:rPr>
                <w:rFonts w:asciiTheme="minorHAnsi" w:hAnsiTheme="minorHAnsi" w:cstheme="minorHAnsi"/>
                <w:sz w:val="24"/>
                <w:szCs w:val="24"/>
              </w:rPr>
            </w:pPr>
          </w:p>
          <w:p w14:paraId="59FF75DD" w14:textId="77777777" w:rsidR="00AF0C1C" w:rsidRPr="00B90AE3" w:rsidRDefault="006D5570"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Lorry restriction during peal trading?</w:t>
            </w:r>
          </w:p>
        </w:tc>
        <w:tc>
          <w:tcPr>
            <w:tcW w:w="8931" w:type="dxa"/>
          </w:tcPr>
          <w:p w14:paraId="385992C0" w14:textId="77777777" w:rsidR="0091096C" w:rsidRPr="00B90AE3" w:rsidRDefault="0091096C" w:rsidP="0091096C">
            <w:pPr>
              <w:pStyle w:val="Default"/>
              <w:rPr>
                <w:rFonts w:asciiTheme="minorHAnsi" w:hAnsiTheme="minorHAnsi" w:cstheme="minorHAnsi"/>
              </w:rPr>
            </w:pPr>
            <w:r w:rsidRPr="00B90AE3">
              <w:rPr>
                <w:rFonts w:asciiTheme="minorHAnsi" w:hAnsiTheme="minorHAnsi" w:cstheme="minorHAnsi"/>
                <w:i/>
                <w:iCs/>
              </w:rPr>
              <w:t xml:space="preserve">Project to cover: </w:t>
            </w:r>
          </w:p>
          <w:p w14:paraId="5F5FA611" w14:textId="1AFB683C" w:rsidR="0091096C" w:rsidRDefault="0091096C" w:rsidP="0078702E">
            <w:pPr>
              <w:pStyle w:val="Default"/>
              <w:numPr>
                <w:ilvl w:val="0"/>
                <w:numId w:val="5"/>
              </w:numPr>
              <w:rPr>
                <w:rFonts w:asciiTheme="minorHAnsi" w:hAnsiTheme="minorHAnsi" w:cstheme="minorHAnsi"/>
              </w:rPr>
            </w:pPr>
            <w:r w:rsidRPr="00B90AE3">
              <w:rPr>
                <w:rFonts w:asciiTheme="minorHAnsi" w:hAnsiTheme="minorHAnsi" w:cstheme="minorHAnsi"/>
              </w:rPr>
              <w:t xml:space="preserve">Traffic management / </w:t>
            </w:r>
            <w:r w:rsidRPr="00F00ABA">
              <w:rPr>
                <w:rFonts w:asciiTheme="minorHAnsi" w:hAnsiTheme="minorHAnsi" w:cstheme="minorHAnsi"/>
                <w:strike/>
              </w:rPr>
              <w:t>public realm improvements</w:t>
            </w:r>
            <w:r w:rsidRPr="00B90AE3">
              <w:rPr>
                <w:rFonts w:asciiTheme="minorHAnsi" w:hAnsiTheme="minorHAnsi" w:cstheme="minorHAnsi"/>
              </w:rPr>
              <w:t xml:space="preserve"> – how this will be progressed and broadly what it will cover. This could include the general principles for signage, street furniture etc </w:t>
            </w:r>
          </w:p>
          <w:p w14:paraId="39DA8111" w14:textId="77777777" w:rsidR="00F00ABA" w:rsidRDefault="00F00ABA" w:rsidP="00F00ABA">
            <w:pPr>
              <w:pStyle w:val="Default"/>
              <w:ind w:left="720"/>
              <w:rPr>
                <w:rFonts w:asciiTheme="minorHAnsi" w:hAnsiTheme="minorHAnsi" w:cstheme="minorHAnsi"/>
              </w:rPr>
            </w:pPr>
          </w:p>
          <w:p w14:paraId="328BB0A2" w14:textId="71FBB7AF" w:rsidR="00F00ABA" w:rsidRDefault="00F00ABA" w:rsidP="00F00ABA">
            <w:pPr>
              <w:pStyle w:val="Default"/>
              <w:numPr>
                <w:ilvl w:val="0"/>
                <w:numId w:val="5"/>
              </w:numPr>
              <w:spacing w:after="243"/>
              <w:rPr>
                <w:rFonts w:asciiTheme="minorHAnsi" w:hAnsiTheme="minorHAnsi" w:cstheme="minorHAnsi"/>
              </w:rPr>
            </w:pPr>
            <w:r>
              <w:rPr>
                <w:rFonts w:asciiTheme="minorHAnsi" w:hAnsiTheme="minorHAnsi" w:cstheme="minorHAnsi"/>
              </w:rPr>
              <w:t xml:space="preserve">Consider commissioning a </w:t>
            </w:r>
            <w:r>
              <w:rPr>
                <w:rFonts w:asciiTheme="minorHAnsi" w:hAnsiTheme="minorHAnsi" w:cstheme="minorHAnsi"/>
              </w:rPr>
              <w:t>traffic flow/ management</w:t>
            </w:r>
            <w:r>
              <w:rPr>
                <w:rFonts w:asciiTheme="minorHAnsi" w:hAnsiTheme="minorHAnsi" w:cstheme="minorHAnsi"/>
              </w:rPr>
              <w:t xml:space="preserve"> study (a bespoke assessment) to provide the evidence to support the </w:t>
            </w:r>
            <w:r>
              <w:rPr>
                <w:rFonts w:asciiTheme="minorHAnsi" w:hAnsiTheme="minorHAnsi" w:cstheme="minorHAnsi"/>
              </w:rPr>
              <w:t>traffic flow</w:t>
            </w:r>
            <w:r>
              <w:rPr>
                <w:rFonts w:asciiTheme="minorHAnsi" w:hAnsiTheme="minorHAnsi" w:cstheme="minorHAnsi"/>
              </w:rPr>
              <w:t xml:space="preserve"> requirements for now and for the future.</w:t>
            </w:r>
          </w:p>
          <w:p w14:paraId="47C3832A" w14:textId="0A18007F" w:rsidR="00F00ABA" w:rsidRPr="00F00ABA" w:rsidRDefault="00F00ABA" w:rsidP="00F00ABA">
            <w:pPr>
              <w:pStyle w:val="Default"/>
              <w:numPr>
                <w:ilvl w:val="0"/>
                <w:numId w:val="5"/>
              </w:numPr>
              <w:spacing w:after="243"/>
              <w:ind w:left="360"/>
              <w:rPr>
                <w:rFonts w:asciiTheme="minorHAnsi" w:hAnsiTheme="minorHAnsi" w:cstheme="minorHAnsi"/>
              </w:rPr>
            </w:pPr>
            <w:r w:rsidRPr="00F00ABA">
              <w:rPr>
                <w:rFonts w:asciiTheme="minorHAnsi" w:hAnsiTheme="minorHAnsi" w:cstheme="minorHAnsi"/>
              </w:rPr>
              <w:t>Prepare a set of 10 questions to ensure that the objectives are clear and expectations achieved (to be discussed at the June SNPAC meeting, voted and recommendations presented to the Council)</w:t>
            </w:r>
          </w:p>
          <w:p w14:paraId="7372BD9A" w14:textId="77777777" w:rsidR="0053571F" w:rsidRPr="00B90AE3" w:rsidRDefault="0053571F" w:rsidP="0091096C">
            <w:pPr>
              <w:pStyle w:val="ListParagraph"/>
              <w:rPr>
                <w:rFonts w:asciiTheme="minorHAnsi" w:hAnsiTheme="minorHAnsi" w:cstheme="minorHAnsi"/>
                <w:sz w:val="24"/>
                <w:szCs w:val="24"/>
              </w:rPr>
            </w:pPr>
          </w:p>
        </w:tc>
        <w:tc>
          <w:tcPr>
            <w:tcW w:w="3799" w:type="dxa"/>
          </w:tcPr>
          <w:p w14:paraId="13E0BE93" w14:textId="77777777" w:rsidR="00DA5AE0" w:rsidRPr="00B90AE3" w:rsidRDefault="00DA5AE0" w:rsidP="00605D1E">
            <w:pPr>
              <w:rPr>
                <w:rFonts w:asciiTheme="minorHAnsi" w:hAnsiTheme="minorHAnsi" w:cstheme="minorHAnsi"/>
                <w:sz w:val="24"/>
                <w:szCs w:val="24"/>
              </w:rPr>
            </w:pPr>
          </w:p>
        </w:tc>
      </w:tr>
      <w:tr w:rsidR="00214033" w:rsidRPr="00B90AE3" w14:paraId="75522FC9" w14:textId="77777777" w:rsidTr="0078702E">
        <w:tc>
          <w:tcPr>
            <w:tcW w:w="9634" w:type="dxa"/>
          </w:tcPr>
          <w:p w14:paraId="6987B95F" w14:textId="6F3738FA" w:rsidR="00214033" w:rsidRPr="00B90AE3" w:rsidRDefault="006D5570" w:rsidP="00605D1E">
            <w:pPr>
              <w:rPr>
                <w:rFonts w:asciiTheme="minorHAnsi" w:hAnsiTheme="minorHAnsi" w:cstheme="minorHAnsi"/>
                <w:b/>
                <w:sz w:val="24"/>
                <w:szCs w:val="24"/>
              </w:rPr>
            </w:pPr>
            <w:r w:rsidRPr="00B90AE3">
              <w:rPr>
                <w:rFonts w:asciiTheme="minorHAnsi" w:hAnsiTheme="minorHAnsi" w:cstheme="minorHAnsi"/>
                <w:b/>
                <w:color w:val="00CC99"/>
                <w:sz w:val="24"/>
                <w:szCs w:val="24"/>
              </w:rPr>
              <w:t>PARKING</w:t>
            </w:r>
            <w:r w:rsidR="00214033" w:rsidRPr="00B90AE3">
              <w:rPr>
                <w:rFonts w:asciiTheme="minorHAnsi" w:hAnsiTheme="minorHAnsi" w:cstheme="minorHAnsi"/>
                <w:b/>
                <w:color w:val="00CC99"/>
                <w:sz w:val="24"/>
                <w:szCs w:val="24"/>
              </w:rPr>
              <w:t xml:space="preserve"> </w:t>
            </w:r>
          </w:p>
          <w:p w14:paraId="16DF64FB" w14:textId="77777777" w:rsidR="00AF0C1C" w:rsidRPr="00B90AE3" w:rsidRDefault="006D5570"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Car park utilisation rates – parking provision for residents/ percentage of residents permits</w:t>
            </w:r>
          </w:p>
          <w:p w14:paraId="1331A124" w14:textId="77777777" w:rsidR="006D5570" w:rsidRPr="00B90AE3" w:rsidRDefault="006D5570"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H2 increase dwell time – lift 2/ 4 hour restrictions?</w:t>
            </w:r>
          </w:p>
          <w:p w14:paraId="71FF9F24" w14:textId="77777777" w:rsidR="00AF0C1C" w:rsidRPr="00B90AE3" w:rsidRDefault="00AF0C1C" w:rsidP="00605D1E">
            <w:pPr>
              <w:rPr>
                <w:rFonts w:asciiTheme="minorHAnsi" w:hAnsiTheme="minorHAnsi" w:cstheme="minorHAnsi"/>
                <w:sz w:val="24"/>
                <w:szCs w:val="24"/>
              </w:rPr>
            </w:pPr>
          </w:p>
        </w:tc>
        <w:tc>
          <w:tcPr>
            <w:tcW w:w="8931" w:type="dxa"/>
          </w:tcPr>
          <w:p w14:paraId="768929B3" w14:textId="77777777" w:rsidR="00214033" w:rsidRPr="00B90AE3" w:rsidRDefault="006D5570" w:rsidP="006D5570">
            <w:pPr>
              <w:pStyle w:val="ListParagraph"/>
              <w:numPr>
                <w:ilvl w:val="0"/>
                <w:numId w:val="2"/>
              </w:numPr>
              <w:rPr>
                <w:rFonts w:asciiTheme="minorHAnsi" w:hAnsiTheme="minorHAnsi" w:cstheme="minorHAnsi"/>
                <w:sz w:val="24"/>
                <w:szCs w:val="24"/>
              </w:rPr>
            </w:pPr>
            <w:r w:rsidRPr="00B90AE3">
              <w:rPr>
                <w:rFonts w:asciiTheme="minorHAnsi" w:hAnsiTheme="minorHAnsi" w:cstheme="minorHAnsi"/>
                <w:sz w:val="24"/>
                <w:szCs w:val="24"/>
              </w:rPr>
              <w:t>Traffic study completed 2005</w:t>
            </w:r>
          </w:p>
          <w:p w14:paraId="0711C186" w14:textId="005E6969" w:rsidR="0091096C" w:rsidRDefault="0091096C" w:rsidP="0091096C">
            <w:pPr>
              <w:pStyle w:val="Default"/>
              <w:spacing w:after="243"/>
              <w:rPr>
                <w:rFonts w:asciiTheme="minorHAnsi" w:hAnsiTheme="minorHAnsi" w:cstheme="minorHAnsi"/>
              </w:rPr>
            </w:pPr>
            <w:r w:rsidRPr="00B90AE3">
              <w:rPr>
                <w:rFonts w:asciiTheme="minorHAnsi" w:hAnsiTheme="minorHAnsi" w:cstheme="minorHAnsi"/>
                <w:i/>
              </w:rPr>
              <w:t>Depending on evidence:</w:t>
            </w:r>
            <w:r w:rsidRPr="00B90AE3">
              <w:rPr>
                <w:rFonts w:asciiTheme="minorHAnsi" w:hAnsiTheme="minorHAnsi" w:cstheme="minorHAnsi"/>
              </w:rPr>
              <w:t xml:space="preserve"> </w:t>
            </w:r>
            <w:r w:rsidRPr="00B90AE3">
              <w:rPr>
                <w:rFonts w:asciiTheme="minorHAnsi" w:hAnsiTheme="minorHAnsi" w:cstheme="minorHAnsi"/>
              </w:rPr>
              <w:t>parking improvements – this may be included in the traffic management project as aspirational. If strong evidence of need to allocate additional land, this is likely to require significant further work to establish who would fund and deliverability of sites (</w:t>
            </w:r>
            <w:r w:rsidR="0078702E" w:rsidRPr="00B90AE3">
              <w:rPr>
                <w:rFonts w:asciiTheme="minorHAnsi" w:hAnsiTheme="minorHAnsi" w:cstheme="minorHAnsi"/>
              </w:rPr>
              <w:t>i.e.</w:t>
            </w:r>
            <w:r w:rsidRPr="00B90AE3">
              <w:rPr>
                <w:rFonts w:asciiTheme="minorHAnsi" w:hAnsiTheme="minorHAnsi" w:cstheme="minorHAnsi"/>
              </w:rPr>
              <w:t xml:space="preserve"> willin</w:t>
            </w:r>
            <w:r w:rsidR="0078702E">
              <w:rPr>
                <w:rFonts w:asciiTheme="minorHAnsi" w:hAnsiTheme="minorHAnsi" w:cstheme="minorHAnsi"/>
              </w:rPr>
              <w:t>g</w:t>
            </w:r>
            <w:r w:rsidRPr="00B90AE3">
              <w:rPr>
                <w:rFonts w:asciiTheme="minorHAnsi" w:hAnsiTheme="minorHAnsi" w:cstheme="minorHAnsi"/>
              </w:rPr>
              <w:t xml:space="preserve"> landowner) </w:t>
            </w:r>
          </w:p>
          <w:p w14:paraId="0B7F74EB" w14:textId="77777777" w:rsidR="0078702E" w:rsidRDefault="0078702E" w:rsidP="0078702E">
            <w:pPr>
              <w:pStyle w:val="Default"/>
              <w:numPr>
                <w:ilvl w:val="0"/>
                <w:numId w:val="5"/>
              </w:numPr>
              <w:spacing w:after="243"/>
              <w:rPr>
                <w:rFonts w:asciiTheme="minorHAnsi" w:hAnsiTheme="minorHAnsi" w:cstheme="minorHAnsi"/>
              </w:rPr>
            </w:pPr>
            <w:r>
              <w:rPr>
                <w:rFonts w:asciiTheme="minorHAnsi" w:hAnsiTheme="minorHAnsi" w:cstheme="minorHAnsi"/>
              </w:rPr>
              <w:t>Consider commissioning a parking study (a bespoke assessment) to provide the evidence to support the parking requirements for now and for the future.</w:t>
            </w:r>
          </w:p>
          <w:p w14:paraId="40FE8D5A" w14:textId="1AB4B5D6" w:rsidR="0078702E" w:rsidRDefault="0078702E" w:rsidP="0078702E">
            <w:pPr>
              <w:pStyle w:val="Default"/>
              <w:numPr>
                <w:ilvl w:val="0"/>
                <w:numId w:val="5"/>
              </w:numPr>
              <w:spacing w:after="243"/>
              <w:rPr>
                <w:rFonts w:asciiTheme="minorHAnsi" w:hAnsiTheme="minorHAnsi" w:cstheme="minorHAnsi"/>
              </w:rPr>
            </w:pPr>
            <w:r>
              <w:rPr>
                <w:rFonts w:asciiTheme="minorHAnsi" w:hAnsiTheme="minorHAnsi" w:cstheme="minorHAnsi"/>
              </w:rPr>
              <w:t>Prepare a set of 10 questions to ensure that the objectives are clear and expectations achieved (to be discussed at the June SNPAC meeting, voted and recommendations presented to the Council)</w:t>
            </w:r>
          </w:p>
          <w:p w14:paraId="21B08AF1" w14:textId="474EAB8D" w:rsidR="00F00ABA" w:rsidRPr="00B90AE3" w:rsidRDefault="00F00ABA" w:rsidP="0078702E">
            <w:pPr>
              <w:pStyle w:val="Default"/>
              <w:numPr>
                <w:ilvl w:val="0"/>
                <w:numId w:val="5"/>
              </w:numPr>
              <w:spacing w:after="243"/>
              <w:rPr>
                <w:rFonts w:asciiTheme="minorHAnsi" w:hAnsiTheme="minorHAnsi" w:cstheme="minorHAnsi"/>
              </w:rPr>
            </w:pPr>
            <w:r>
              <w:rPr>
                <w:rFonts w:asciiTheme="minorHAnsi" w:hAnsiTheme="minorHAnsi" w:cstheme="minorHAnsi"/>
              </w:rPr>
              <w:t>Include the need for long term parking (currently the maximum time is 4 hours)</w:t>
            </w:r>
          </w:p>
          <w:p w14:paraId="4F39F125" w14:textId="77777777" w:rsidR="0091096C" w:rsidRPr="00B90AE3" w:rsidRDefault="0091096C" w:rsidP="0091096C">
            <w:pPr>
              <w:rPr>
                <w:rFonts w:asciiTheme="minorHAnsi" w:hAnsiTheme="minorHAnsi" w:cstheme="minorHAnsi"/>
                <w:sz w:val="24"/>
                <w:szCs w:val="24"/>
              </w:rPr>
            </w:pPr>
          </w:p>
        </w:tc>
        <w:tc>
          <w:tcPr>
            <w:tcW w:w="3799" w:type="dxa"/>
          </w:tcPr>
          <w:p w14:paraId="7CE4EC82" w14:textId="77777777" w:rsidR="00214033" w:rsidRPr="00B90AE3" w:rsidRDefault="00214033" w:rsidP="00605D1E">
            <w:pPr>
              <w:rPr>
                <w:rFonts w:asciiTheme="minorHAnsi" w:hAnsiTheme="minorHAnsi" w:cstheme="minorHAnsi"/>
                <w:sz w:val="24"/>
                <w:szCs w:val="24"/>
              </w:rPr>
            </w:pPr>
          </w:p>
        </w:tc>
      </w:tr>
      <w:tr w:rsidR="00214033" w:rsidRPr="00B90AE3" w14:paraId="631875DB" w14:textId="77777777" w:rsidTr="0078702E">
        <w:tc>
          <w:tcPr>
            <w:tcW w:w="9634" w:type="dxa"/>
          </w:tcPr>
          <w:p w14:paraId="4F548FC5" w14:textId="77777777" w:rsidR="00214033" w:rsidRPr="00B90AE3" w:rsidRDefault="006D5570" w:rsidP="00605D1E">
            <w:pPr>
              <w:rPr>
                <w:rFonts w:asciiTheme="minorHAnsi" w:hAnsiTheme="minorHAnsi" w:cstheme="minorHAnsi"/>
                <w:b/>
                <w:color w:val="CC0066"/>
                <w:sz w:val="24"/>
                <w:szCs w:val="24"/>
              </w:rPr>
            </w:pPr>
            <w:r w:rsidRPr="00B90AE3">
              <w:rPr>
                <w:rFonts w:asciiTheme="minorHAnsi" w:hAnsiTheme="minorHAnsi" w:cstheme="minorHAnsi"/>
                <w:b/>
                <w:color w:val="CC0066"/>
                <w:sz w:val="24"/>
                <w:szCs w:val="24"/>
              </w:rPr>
              <w:t>other</w:t>
            </w:r>
            <w:r w:rsidR="00214033" w:rsidRPr="00B90AE3">
              <w:rPr>
                <w:rFonts w:asciiTheme="minorHAnsi" w:hAnsiTheme="minorHAnsi" w:cstheme="minorHAnsi"/>
                <w:b/>
                <w:color w:val="CC0066"/>
                <w:sz w:val="24"/>
                <w:szCs w:val="24"/>
              </w:rPr>
              <w:t xml:space="preserve"> </w:t>
            </w:r>
            <w:r w:rsidR="00AF0C1C" w:rsidRPr="00B90AE3">
              <w:rPr>
                <w:rFonts w:asciiTheme="minorHAnsi" w:hAnsiTheme="minorHAnsi" w:cstheme="minorHAnsi"/>
                <w:b/>
                <w:color w:val="CC0066"/>
                <w:sz w:val="24"/>
                <w:szCs w:val="24"/>
              </w:rPr>
              <w:t>–</w:t>
            </w:r>
          </w:p>
          <w:p w14:paraId="7A1C5985" w14:textId="77777777" w:rsidR="00AF0C1C" w:rsidRPr="00B90AE3" w:rsidRDefault="00AF0C1C" w:rsidP="006D5570">
            <w:pPr>
              <w:pStyle w:val="ListParagraph"/>
              <w:numPr>
                <w:ilvl w:val="0"/>
                <w:numId w:val="3"/>
              </w:numPr>
              <w:rPr>
                <w:rFonts w:asciiTheme="minorHAnsi" w:hAnsiTheme="minorHAnsi" w:cstheme="minorHAnsi"/>
                <w:sz w:val="24"/>
                <w:szCs w:val="24"/>
              </w:rPr>
            </w:pPr>
          </w:p>
          <w:p w14:paraId="2CA3452B" w14:textId="77777777" w:rsidR="00AF0C1C" w:rsidRPr="00B90AE3" w:rsidRDefault="00AF0C1C" w:rsidP="00605D1E">
            <w:pPr>
              <w:rPr>
                <w:rFonts w:asciiTheme="minorHAnsi" w:hAnsiTheme="minorHAnsi" w:cstheme="minorHAnsi"/>
                <w:sz w:val="24"/>
                <w:szCs w:val="24"/>
              </w:rPr>
            </w:pPr>
          </w:p>
        </w:tc>
        <w:tc>
          <w:tcPr>
            <w:tcW w:w="8931" w:type="dxa"/>
          </w:tcPr>
          <w:p w14:paraId="0EA15439" w14:textId="77777777" w:rsidR="0091096C" w:rsidRPr="00B90AE3" w:rsidRDefault="0091096C" w:rsidP="0091096C">
            <w:pPr>
              <w:pStyle w:val="Default"/>
              <w:rPr>
                <w:rFonts w:asciiTheme="minorHAnsi" w:hAnsiTheme="minorHAnsi" w:cstheme="minorHAnsi"/>
              </w:rPr>
            </w:pPr>
            <w:r w:rsidRPr="00B90AE3">
              <w:rPr>
                <w:rFonts w:asciiTheme="minorHAnsi" w:hAnsiTheme="minorHAnsi" w:cstheme="minorHAnsi"/>
                <w:i/>
                <w:iCs/>
              </w:rPr>
              <w:t xml:space="preserve">Depending on evidence / further research </w:t>
            </w:r>
          </w:p>
          <w:p w14:paraId="5E28BAC3" w14:textId="0C82A071" w:rsidR="0091096C" w:rsidRPr="00B90AE3" w:rsidRDefault="0091096C" w:rsidP="0078702E">
            <w:pPr>
              <w:pStyle w:val="Default"/>
              <w:numPr>
                <w:ilvl w:val="0"/>
                <w:numId w:val="5"/>
              </w:numPr>
              <w:spacing w:after="243"/>
              <w:rPr>
                <w:rFonts w:asciiTheme="minorHAnsi" w:hAnsiTheme="minorHAnsi" w:cstheme="minorHAnsi"/>
              </w:rPr>
            </w:pPr>
            <w:r w:rsidRPr="00B90AE3">
              <w:rPr>
                <w:rFonts w:asciiTheme="minorHAnsi" w:hAnsiTheme="minorHAnsi" w:cstheme="minorHAnsi"/>
              </w:rPr>
              <w:t xml:space="preserve">cultural quarter project? </w:t>
            </w:r>
          </w:p>
          <w:p w14:paraId="000E1704" w14:textId="77777777" w:rsidR="0078702E" w:rsidRDefault="0091096C" w:rsidP="0091096C">
            <w:pPr>
              <w:pStyle w:val="Default"/>
              <w:numPr>
                <w:ilvl w:val="0"/>
                <w:numId w:val="5"/>
              </w:numPr>
              <w:spacing w:after="243"/>
              <w:rPr>
                <w:rFonts w:asciiTheme="minorHAnsi" w:hAnsiTheme="minorHAnsi" w:cstheme="minorHAnsi"/>
              </w:rPr>
            </w:pPr>
            <w:r w:rsidRPr="00B90AE3">
              <w:rPr>
                <w:rFonts w:asciiTheme="minorHAnsi" w:hAnsiTheme="minorHAnsi" w:cstheme="minorHAnsi"/>
              </w:rPr>
              <w:t xml:space="preserve">parking standards – do these need to deviate from the DCC requirements? </w:t>
            </w:r>
          </w:p>
          <w:p w14:paraId="0207C39B" w14:textId="37959413" w:rsidR="0091096C" w:rsidRPr="0078702E" w:rsidRDefault="0091096C" w:rsidP="0091096C">
            <w:pPr>
              <w:pStyle w:val="Default"/>
              <w:numPr>
                <w:ilvl w:val="0"/>
                <w:numId w:val="5"/>
              </w:numPr>
              <w:spacing w:after="243"/>
              <w:rPr>
                <w:rFonts w:asciiTheme="minorHAnsi" w:hAnsiTheme="minorHAnsi" w:cstheme="minorHAnsi"/>
              </w:rPr>
            </w:pPr>
            <w:r w:rsidRPr="0078702E">
              <w:rPr>
                <w:rFonts w:asciiTheme="minorHAnsi" w:hAnsiTheme="minorHAnsi" w:cstheme="minorHAnsi"/>
              </w:rPr>
              <w:t xml:space="preserve">policies on key sites where changes are anticipated – the degree to which further evidence may be needed will depend on what is proposed (and understanding of landowner intentions and current policy context) </w:t>
            </w:r>
          </w:p>
          <w:p w14:paraId="7EE7BA71" w14:textId="77777777" w:rsidR="00214033" w:rsidRPr="00B90AE3" w:rsidRDefault="00214033" w:rsidP="00605D1E">
            <w:pPr>
              <w:rPr>
                <w:rFonts w:asciiTheme="minorHAnsi" w:hAnsiTheme="minorHAnsi" w:cstheme="minorHAnsi"/>
                <w:sz w:val="24"/>
                <w:szCs w:val="24"/>
              </w:rPr>
            </w:pPr>
          </w:p>
        </w:tc>
        <w:tc>
          <w:tcPr>
            <w:tcW w:w="3799" w:type="dxa"/>
          </w:tcPr>
          <w:p w14:paraId="1AE8768B" w14:textId="77777777" w:rsidR="00214033" w:rsidRPr="00B90AE3" w:rsidRDefault="00214033" w:rsidP="00605D1E">
            <w:pPr>
              <w:rPr>
                <w:rFonts w:asciiTheme="minorHAnsi" w:hAnsiTheme="minorHAnsi" w:cstheme="minorHAnsi"/>
                <w:sz w:val="24"/>
                <w:szCs w:val="24"/>
              </w:rPr>
            </w:pPr>
          </w:p>
        </w:tc>
      </w:tr>
    </w:tbl>
    <w:p w14:paraId="3C6E37B6" w14:textId="77777777" w:rsidR="002A40EA" w:rsidRPr="00B90AE3" w:rsidRDefault="002A40EA" w:rsidP="002A40EA">
      <w:pPr>
        <w:autoSpaceDE w:val="0"/>
        <w:autoSpaceDN w:val="0"/>
        <w:adjustRightInd w:val="0"/>
        <w:spacing w:after="0"/>
        <w:jc w:val="left"/>
        <w:rPr>
          <w:rFonts w:asciiTheme="minorHAnsi" w:hAnsiTheme="minorHAnsi" w:cstheme="minorHAnsi"/>
          <w:color w:val="231F20"/>
          <w:sz w:val="24"/>
          <w:szCs w:val="24"/>
        </w:rPr>
      </w:pPr>
    </w:p>
    <w:p w14:paraId="6B5C2332" w14:textId="3F53240D" w:rsidR="00DA5AE0" w:rsidRDefault="002A40EA" w:rsidP="002A40EA">
      <w:pPr>
        <w:autoSpaceDE w:val="0"/>
        <w:autoSpaceDN w:val="0"/>
        <w:adjustRightInd w:val="0"/>
        <w:spacing w:after="0"/>
        <w:jc w:val="left"/>
        <w:rPr>
          <w:rFonts w:asciiTheme="minorHAnsi" w:hAnsiTheme="minorHAnsi" w:cstheme="minorHAnsi"/>
          <w:color w:val="231F20"/>
          <w:sz w:val="24"/>
          <w:szCs w:val="24"/>
        </w:rPr>
      </w:pPr>
      <w:r w:rsidRPr="00B90AE3">
        <w:rPr>
          <w:rFonts w:asciiTheme="minorHAnsi" w:hAnsiTheme="minorHAnsi" w:cstheme="minorHAnsi"/>
          <w:color w:val="231F20"/>
          <w:sz w:val="24"/>
          <w:szCs w:val="24"/>
        </w:rPr>
        <w:t xml:space="preserve">Note: </w:t>
      </w:r>
      <w:r w:rsidRPr="00B90AE3">
        <w:rPr>
          <w:rFonts w:asciiTheme="minorHAnsi" w:hAnsiTheme="minorHAnsi" w:cstheme="minorHAnsi"/>
          <w:color w:val="231F20"/>
          <w:sz w:val="24"/>
          <w:szCs w:val="24"/>
        </w:rPr>
        <w:t>It is good practice for partnerships to include</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topic groups, sitting under the main</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management or steering group. This structure</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allows the topic groups to concentrate more on</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the specifics of delivery, leaving the steering</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group to attend to strategy and process. Local</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people can also air their views on issues of</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interest to them, without being lost within</w:t>
      </w:r>
      <w:r w:rsidRPr="00B90AE3">
        <w:rPr>
          <w:rFonts w:asciiTheme="minorHAnsi" w:hAnsiTheme="minorHAnsi" w:cstheme="minorHAnsi"/>
          <w:color w:val="231F20"/>
          <w:sz w:val="24"/>
          <w:szCs w:val="24"/>
        </w:rPr>
        <w:t xml:space="preserve"> </w:t>
      </w:r>
      <w:r w:rsidRPr="00B90AE3">
        <w:rPr>
          <w:rFonts w:asciiTheme="minorHAnsi" w:hAnsiTheme="minorHAnsi" w:cstheme="minorHAnsi"/>
          <w:color w:val="231F20"/>
          <w:sz w:val="24"/>
          <w:szCs w:val="24"/>
        </w:rPr>
        <w:t>wider partnership discus</w:t>
      </w:r>
    </w:p>
    <w:p w14:paraId="739AED12" w14:textId="1985D064" w:rsidR="00F00ABA" w:rsidRDefault="00F00ABA" w:rsidP="002A40EA">
      <w:pPr>
        <w:autoSpaceDE w:val="0"/>
        <w:autoSpaceDN w:val="0"/>
        <w:adjustRightInd w:val="0"/>
        <w:spacing w:after="0"/>
        <w:jc w:val="left"/>
        <w:rPr>
          <w:rFonts w:asciiTheme="minorHAnsi" w:hAnsiTheme="minorHAnsi" w:cstheme="minorHAnsi"/>
          <w:sz w:val="24"/>
          <w:szCs w:val="24"/>
        </w:rPr>
      </w:pPr>
    </w:p>
    <w:p w14:paraId="3D9841C1" w14:textId="3DDD3C8A" w:rsidR="00F00ABA" w:rsidRDefault="00F00ABA" w:rsidP="002A40EA">
      <w:p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Questions to be prepared in advance of the NDDC SNPAC meeting with NDDC on 31</w:t>
      </w:r>
      <w:r w:rsidRPr="00F00ABA">
        <w:rPr>
          <w:rFonts w:asciiTheme="minorHAnsi" w:hAnsiTheme="minorHAnsi" w:cstheme="minorHAnsi"/>
          <w:sz w:val="24"/>
          <w:szCs w:val="24"/>
          <w:vertAlign w:val="superscript"/>
        </w:rPr>
        <w:t>st</w:t>
      </w:r>
      <w:r>
        <w:rPr>
          <w:rFonts w:asciiTheme="minorHAnsi" w:hAnsiTheme="minorHAnsi" w:cstheme="minorHAnsi"/>
          <w:sz w:val="24"/>
          <w:szCs w:val="24"/>
        </w:rPr>
        <w:t xml:space="preserve"> May 2018:</w:t>
      </w:r>
    </w:p>
    <w:p w14:paraId="6B684B0E" w14:textId="1B143885" w:rsidR="00F00ABA" w:rsidRDefault="00F00ABA" w:rsidP="002A40EA">
      <w:pPr>
        <w:autoSpaceDE w:val="0"/>
        <w:autoSpaceDN w:val="0"/>
        <w:adjustRightInd w:val="0"/>
        <w:spacing w:after="0"/>
        <w:jc w:val="left"/>
        <w:rPr>
          <w:rFonts w:asciiTheme="minorHAnsi" w:hAnsiTheme="minorHAnsi" w:cstheme="minorHAnsi"/>
          <w:sz w:val="24"/>
          <w:szCs w:val="24"/>
        </w:rPr>
      </w:pPr>
    </w:p>
    <w:p w14:paraId="71C91776" w14:textId="68F028BE" w:rsidR="00F00ABA" w:rsidRPr="00B90AE3" w:rsidRDefault="00F00ABA" w:rsidP="002A40EA">
      <w:p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The local plan states ‘some changes allowed under permitted development rights’ in terms of usage classification for Retail – please </w:t>
      </w:r>
      <w:proofErr w:type="spellStart"/>
      <w:r>
        <w:rPr>
          <w:rFonts w:asciiTheme="minorHAnsi" w:hAnsiTheme="minorHAnsi" w:cstheme="minorHAnsi"/>
          <w:sz w:val="24"/>
          <w:szCs w:val="24"/>
        </w:rPr>
        <w:t>quanitify</w:t>
      </w:r>
      <w:proofErr w:type="spellEnd"/>
      <w:r>
        <w:rPr>
          <w:rFonts w:asciiTheme="minorHAnsi" w:hAnsiTheme="minorHAnsi" w:cstheme="minorHAnsi"/>
          <w:sz w:val="24"/>
          <w:szCs w:val="24"/>
        </w:rPr>
        <w:t xml:space="preserve"> ‘certain conditions need to be met’ and ‘some </w:t>
      </w:r>
      <w:proofErr w:type="spellStart"/>
      <w:r>
        <w:rPr>
          <w:rFonts w:asciiTheme="minorHAnsi" w:hAnsiTheme="minorHAnsi" w:cstheme="minorHAnsi"/>
          <w:sz w:val="24"/>
          <w:szCs w:val="24"/>
        </w:rPr>
        <w:t>chnges</w:t>
      </w:r>
      <w:proofErr w:type="spellEnd"/>
      <w:r>
        <w:rPr>
          <w:rFonts w:asciiTheme="minorHAnsi" w:hAnsiTheme="minorHAnsi" w:cstheme="minorHAnsi"/>
          <w:sz w:val="24"/>
          <w:szCs w:val="24"/>
        </w:rPr>
        <w:t>’ – further information required</w:t>
      </w:r>
    </w:p>
    <w:sectPr w:rsidR="00F00ABA" w:rsidRPr="00B90AE3" w:rsidSect="00DA5AE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63C"/>
    <w:multiLevelType w:val="hybridMultilevel"/>
    <w:tmpl w:val="6BEE05F2"/>
    <w:lvl w:ilvl="0" w:tplc="154086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7060B"/>
    <w:multiLevelType w:val="hybridMultilevel"/>
    <w:tmpl w:val="F8325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10479D"/>
    <w:multiLevelType w:val="hybridMultilevel"/>
    <w:tmpl w:val="3440CC3C"/>
    <w:lvl w:ilvl="0" w:tplc="154086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F1773"/>
    <w:multiLevelType w:val="hybridMultilevel"/>
    <w:tmpl w:val="B4AC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1560C"/>
    <w:multiLevelType w:val="hybridMultilevel"/>
    <w:tmpl w:val="E7648774"/>
    <w:lvl w:ilvl="0" w:tplc="154086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D18DB"/>
    <w:multiLevelType w:val="hybridMultilevel"/>
    <w:tmpl w:val="197A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E0"/>
    <w:rsid w:val="00031630"/>
    <w:rsid w:val="00066251"/>
    <w:rsid w:val="001D130E"/>
    <w:rsid w:val="00214033"/>
    <w:rsid w:val="00240227"/>
    <w:rsid w:val="002A40EA"/>
    <w:rsid w:val="0035295D"/>
    <w:rsid w:val="004B10E9"/>
    <w:rsid w:val="0053571F"/>
    <w:rsid w:val="00573460"/>
    <w:rsid w:val="00605D1E"/>
    <w:rsid w:val="006D5570"/>
    <w:rsid w:val="0078702E"/>
    <w:rsid w:val="0091096C"/>
    <w:rsid w:val="00AF0C1C"/>
    <w:rsid w:val="00B90AE3"/>
    <w:rsid w:val="00BF499B"/>
    <w:rsid w:val="00C6691B"/>
    <w:rsid w:val="00DA5AE0"/>
    <w:rsid w:val="00E70DD8"/>
    <w:rsid w:val="00F0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1623"/>
  <w15:docId w15:val="{17C28E9C-511E-4DBC-996E-28FEE4F6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GB"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A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71F"/>
    <w:pPr>
      <w:ind w:left="720"/>
      <w:contextualSpacing/>
    </w:pPr>
  </w:style>
  <w:style w:type="paragraph" w:customStyle="1" w:styleId="Default">
    <w:name w:val="Default"/>
    <w:rsid w:val="0091096C"/>
    <w:pPr>
      <w:autoSpaceDE w:val="0"/>
      <w:autoSpaceDN w:val="0"/>
      <w:adjustRightInd w:val="0"/>
      <w:spacing w:after="0"/>
      <w:jc w:val="left"/>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9109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Brie Logan</cp:lastModifiedBy>
  <cp:revision>2</cp:revision>
  <cp:lastPrinted>2018-05-15T12:35:00Z</cp:lastPrinted>
  <dcterms:created xsi:type="dcterms:W3CDTF">2018-05-15T17:31:00Z</dcterms:created>
  <dcterms:modified xsi:type="dcterms:W3CDTF">2018-05-15T17:31:00Z</dcterms:modified>
</cp:coreProperties>
</file>